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Cambria" w:cs="Cambria" w:eastAsia="Cambria" w:hAnsi="Cambria"/>
          <w:sz w:val="48"/>
          <w:szCs w:val="48"/>
        </w:rPr>
      </w:pPr>
      <w:r w:rsidDel="00000000" w:rsidR="00000000" w:rsidRPr="00000000">
        <w:rPr>
          <w:rFonts w:ascii="Cambria" w:cs="Cambria" w:eastAsia="Cambria" w:hAnsi="Cambria"/>
          <w:sz w:val="48"/>
          <w:szCs w:val="48"/>
          <w:rtl w:val="0"/>
        </w:rPr>
        <w:t xml:space="preserve">Quarknet 2017: Cosmic Ray Detector</w:t>
      </w:r>
    </w:p>
    <w:p w:rsidR="00000000" w:rsidDel="00000000" w:rsidP="00000000" w:rsidRDefault="00000000" w:rsidRPr="00000000">
      <w:pPr>
        <w:contextualSpacing w:val="0"/>
        <w:jc w:val="center"/>
        <w:rPr>
          <w:rFonts w:ascii="Cambria" w:cs="Cambria" w:eastAsia="Cambria" w:hAnsi="Cambria"/>
          <w:sz w:val="48"/>
          <w:szCs w:val="48"/>
        </w:rPr>
      </w:pPr>
      <w:r w:rsidDel="00000000" w:rsidR="00000000" w:rsidRPr="00000000">
        <w:rPr>
          <w:rtl w:val="0"/>
        </w:rPr>
      </w:r>
    </w:p>
    <w:p w:rsidR="00000000" w:rsidDel="00000000" w:rsidP="00000000" w:rsidRDefault="00000000" w:rsidRPr="00000000">
      <w:pPr>
        <w:contextualSpacing w:val="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Participants:</w:t>
      </w:r>
    </w:p>
    <w:p w:rsidR="00000000" w:rsidDel="00000000" w:rsidP="00000000" w:rsidRDefault="00000000" w:rsidRPr="00000000">
      <w:pPr>
        <w:contextualSpacing w:val="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Mike Grannen, Mary Grace Armbrust, Roger Wittmer, Adam Edwards</w:t>
      </w:r>
      <w:r w:rsidDel="00000000" w:rsidR="00000000" w:rsidRPr="00000000">
        <w:rPr>
          <w:rtl w:val="0"/>
        </w:rPr>
      </w:r>
    </w:p>
    <w:p w:rsidR="00000000" w:rsidDel="00000000" w:rsidP="00000000" w:rsidRDefault="00000000" w:rsidRPr="00000000">
      <w:pPr>
        <w:contextualSpacing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pPr>
        <w:contextualSpacing w:val="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Purpose:</w:t>
      </w:r>
    </w:p>
    <w:p w:rsidR="00000000" w:rsidDel="00000000" w:rsidP="00000000" w:rsidRDefault="00000000" w:rsidRPr="00000000">
      <w:pPr>
        <w:ind w:left="720" w:firstLine="0"/>
        <w:contextualSpacing w:val="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Originally, our purpose was to collect data from cosmic ray events to upload to the Quarknet website for other institutions to use for research; however, most of our time was spent troubleshooting to make sure our equipment was fully functioning.</w:t>
      </w:r>
      <w:r w:rsidDel="00000000" w:rsidR="00000000" w:rsidRPr="00000000">
        <w:rPr>
          <w:rtl w:val="0"/>
        </w:rPr>
      </w:r>
    </w:p>
    <w:p w:rsidR="00000000" w:rsidDel="00000000" w:rsidP="00000000" w:rsidRDefault="00000000" w:rsidRPr="00000000">
      <w:pPr>
        <w:contextualSpacing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pPr>
        <w:contextualSpacing w:val="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Equipment:</w:t>
      </w:r>
    </w:p>
    <w:p w:rsidR="00000000" w:rsidDel="00000000" w:rsidP="00000000" w:rsidRDefault="00000000" w:rsidRPr="00000000">
      <w:pPr>
        <w:numPr>
          <w:ilvl w:val="0"/>
          <w:numId w:val="1"/>
        </w:numPr>
        <w:ind w:left="1440" w:hanging="360"/>
        <w:contextualSpacing w:val="1"/>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Counters – Scintillators, photomultiplier tubes and PVC housing. </w:t>
      </w:r>
    </w:p>
    <w:p w:rsidR="00000000" w:rsidDel="00000000" w:rsidP="00000000" w:rsidRDefault="00000000" w:rsidRPr="00000000">
      <w:pPr>
        <w:numPr>
          <w:ilvl w:val="0"/>
          <w:numId w:val="1"/>
        </w:numPr>
        <w:ind w:left="1440" w:hanging="360"/>
        <w:contextualSpacing w:val="1"/>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BNC signal extension cables. </w:t>
      </w:r>
    </w:p>
    <w:p w:rsidR="00000000" w:rsidDel="00000000" w:rsidP="00000000" w:rsidRDefault="00000000" w:rsidRPr="00000000">
      <w:pPr>
        <w:numPr>
          <w:ilvl w:val="0"/>
          <w:numId w:val="1"/>
        </w:numPr>
        <w:ind w:left="1440" w:hanging="360"/>
        <w:contextualSpacing w:val="1"/>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QuarkNet DAQ data acquisition board. </w:t>
      </w:r>
    </w:p>
    <w:p w:rsidR="00000000" w:rsidDel="00000000" w:rsidP="00000000" w:rsidRDefault="00000000" w:rsidRPr="00000000">
      <w:pPr>
        <w:numPr>
          <w:ilvl w:val="0"/>
          <w:numId w:val="1"/>
        </w:numPr>
        <w:ind w:left="1440" w:hanging="360"/>
        <w:contextualSpacing w:val="1"/>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CAT-5 network cable.</w:t>
      </w:r>
    </w:p>
    <w:p w:rsidR="00000000" w:rsidDel="00000000" w:rsidP="00000000" w:rsidRDefault="00000000" w:rsidRPr="00000000">
      <w:pPr>
        <w:numPr>
          <w:ilvl w:val="0"/>
          <w:numId w:val="1"/>
        </w:numPr>
        <w:ind w:left="1440" w:hanging="360"/>
        <w:contextualSpacing w:val="1"/>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GPS module. </w:t>
      </w:r>
    </w:p>
    <w:p w:rsidR="00000000" w:rsidDel="00000000" w:rsidP="00000000" w:rsidRDefault="00000000" w:rsidRPr="00000000">
      <w:pPr>
        <w:numPr>
          <w:ilvl w:val="0"/>
          <w:numId w:val="1"/>
        </w:numPr>
        <w:ind w:left="1440" w:hanging="360"/>
        <w:contextualSpacing w:val="1"/>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GPS antenna. </w:t>
      </w:r>
    </w:p>
    <w:p w:rsidR="00000000" w:rsidDel="00000000" w:rsidP="00000000" w:rsidRDefault="00000000" w:rsidRPr="00000000">
      <w:pPr>
        <w:numPr>
          <w:ilvl w:val="0"/>
          <w:numId w:val="1"/>
        </w:numPr>
        <w:ind w:left="1440" w:hanging="360"/>
        <w:contextualSpacing w:val="1"/>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Temperature sensor. </w:t>
      </w:r>
    </w:p>
    <w:p w:rsidR="00000000" w:rsidDel="00000000" w:rsidP="00000000" w:rsidRDefault="00000000" w:rsidRPr="00000000">
      <w:pPr>
        <w:numPr>
          <w:ilvl w:val="0"/>
          <w:numId w:val="1"/>
        </w:numPr>
        <w:ind w:left="1440" w:hanging="360"/>
        <w:contextualSpacing w:val="1"/>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5 VDC power supply. </w:t>
      </w:r>
    </w:p>
    <w:p w:rsidR="00000000" w:rsidDel="00000000" w:rsidP="00000000" w:rsidRDefault="00000000" w:rsidRPr="00000000">
      <w:pPr>
        <w:numPr>
          <w:ilvl w:val="0"/>
          <w:numId w:val="1"/>
        </w:numPr>
        <w:ind w:left="1440" w:hanging="360"/>
        <w:contextualSpacing w:val="1"/>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PDU power cable. </w:t>
      </w:r>
    </w:p>
    <w:p w:rsidR="00000000" w:rsidDel="00000000" w:rsidP="00000000" w:rsidRDefault="00000000" w:rsidRPr="00000000">
      <w:pPr>
        <w:numPr>
          <w:ilvl w:val="0"/>
          <w:numId w:val="1"/>
        </w:numPr>
        <w:ind w:left="1440" w:hanging="360"/>
        <w:contextualSpacing w:val="1"/>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Power distribution unit, PDU. </w:t>
      </w:r>
    </w:p>
    <w:p w:rsidR="00000000" w:rsidDel="00000000" w:rsidP="00000000" w:rsidRDefault="00000000" w:rsidRPr="00000000">
      <w:pPr>
        <w:numPr>
          <w:ilvl w:val="0"/>
          <w:numId w:val="1"/>
        </w:numPr>
        <w:ind w:left="1440" w:hanging="360"/>
        <w:contextualSpacing w:val="1"/>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Power extension cables for PMTs. </w:t>
      </w:r>
    </w:p>
    <w:p w:rsidR="00000000" w:rsidDel="00000000" w:rsidP="00000000" w:rsidRDefault="00000000" w:rsidRPr="00000000">
      <w:pPr>
        <w:numPr>
          <w:ilvl w:val="0"/>
          <w:numId w:val="1"/>
        </w:numPr>
        <w:ind w:left="1440" w:hanging="360"/>
        <w:contextualSpacing w:val="1"/>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USB cable. </w:t>
      </w:r>
    </w:p>
    <w:p w:rsidR="00000000" w:rsidDel="00000000" w:rsidP="00000000" w:rsidRDefault="00000000" w:rsidRPr="00000000">
      <w:pPr>
        <w:numPr>
          <w:ilvl w:val="0"/>
          <w:numId w:val="1"/>
        </w:numPr>
        <w:ind w:left="1440" w:hanging="360"/>
        <w:contextualSpacing w:val="1"/>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Personal Computer.</w:t>
      </w:r>
    </w:p>
    <w:p w:rsidR="00000000" w:rsidDel="00000000" w:rsidP="00000000" w:rsidRDefault="00000000" w:rsidRPr="00000000">
      <w:pPr>
        <w:contextualSpacing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pPr>
        <w:contextualSpacing w:val="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Procedure:</w:t>
      </w:r>
    </w:p>
    <w:p w:rsidR="00000000" w:rsidDel="00000000" w:rsidP="00000000" w:rsidRDefault="00000000" w:rsidRPr="00000000">
      <w:pPr>
        <w:ind w:left="720" w:firstLine="0"/>
        <w:contextualSpacing w:val="0"/>
        <w:jc w:val="left"/>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First, we had to set up the panels with the corresponding cables to the power supply and the data acquisition board (DAQ). Once we had everything set up, we ran into a problem with the power supply, where we had a loose connection. We solved this by soldering the wire back in place. Then, we had issues with the plateauing process. The plateauing process is a systematic approach to determine the ideal voltage for each of the cable and panel pairs. (See graphs below). Following along with a PowerPoint from the e-labs website, we used channel 0 as a reference and recorded different voltages for channel 1. This graph turned out very well, as we could observe where the coincidence counts started to level off, which is where you should set the voltage. Next, we tried testing channel 2 with channel 0 as a reference. This one did not turn out as well because there were not any counts from channel 2, so the coincidence count was also zero. After that, we decided to test channel 3 with channel 0 as a reference. This graph looks better; however, the reference points followed a linear trend, when they were supposed to be close to horizontal. The coincidence count follows a very slight increasing linear pattern. Lastly, we tested channel 0 with channel 1 as a reference, and it turned out poorly as well. Our coincidence count was in the 300-400 range with a wide variety of voltages. Whereas channel 0 was giving us extremely high counts, in the sixty-thousands. With all this inconsistency, we decided to do some troubleshooting to find out what the problem was. We tested multiple variables including different panels, different cable and panel pairs, and different orders of panels. All of these tests yielded inconsistent results. Finally, when rearranging the cables into their original configurations, the BNC end on cable A flew off, resulting in our realizing that the connections were poor, which was skewing our data. We had help from two of the engineers at the University of Iowa to fix our connections. As of the end of the summer, we believe that all panels, cables, and connections work, and we are taking this setup back to Bettendorf to collect data for Quarknet throughout the school year.</w:t>
      </w:r>
      <w:r w:rsidDel="00000000" w:rsidR="00000000" w:rsidRPr="00000000">
        <w:rPr>
          <w:rtl w:val="0"/>
        </w:rPr>
      </w:r>
    </w:p>
    <w:p w:rsidR="00000000" w:rsidDel="00000000" w:rsidP="00000000" w:rsidRDefault="00000000" w:rsidRPr="00000000">
      <w:pPr>
        <w:ind w:left="720" w:firstLine="0"/>
        <w:contextualSpacing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pPr>
        <w:ind w:left="720" w:firstLine="0"/>
        <w:contextualSpacing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pPr>
        <w:ind w:left="720" w:firstLine="0"/>
        <w:contextualSpacing w:val="0"/>
        <w:jc w:val="left"/>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5672138" cy="1876425"/>
            <wp:effectExtent b="0" l="0" r="0" t="0"/>
            <wp:docPr id="1" name="image3.png"/>
            <a:graphic>
              <a:graphicData uri="http://schemas.openxmlformats.org/drawingml/2006/picture">
                <pic:pic>
                  <pic:nvPicPr>
                    <pic:cNvPr id="0" name="image3.png"/>
                    <pic:cNvPicPr preferRelativeResize="0"/>
                  </pic:nvPicPr>
                  <pic:blipFill>
                    <a:blip r:embed="rId5"/>
                    <a:srcRect b="38677" l="4487" r="7051" t="21843"/>
                    <a:stretch>
                      <a:fillRect/>
                    </a:stretch>
                  </pic:blipFill>
                  <pic:spPr>
                    <a:xfrm>
                      <a:off x="0" y="0"/>
                      <a:ext cx="5672138" cy="1876425"/>
                    </a:xfrm>
                    <a:prstGeom prst="rect"/>
                    <a:ln/>
                  </pic:spPr>
                </pic:pic>
              </a:graphicData>
            </a:graphic>
          </wp:inline>
        </w:drawing>
      </w:r>
      <w:r w:rsidDel="00000000" w:rsidR="00000000" w:rsidRPr="00000000">
        <w:rPr>
          <w:rtl w:val="0"/>
        </w:rPr>
      </w:r>
    </w:p>
    <w:p w:rsidR="00000000" w:rsidDel="00000000" w:rsidP="00000000" w:rsidRDefault="00000000" w:rsidRPr="00000000">
      <w:pPr>
        <w:ind w:left="720" w:firstLine="0"/>
        <w:contextualSpacing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pPr>
        <w:ind w:left="720" w:firstLine="0"/>
        <w:contextualSpacing w:val="0"/>
        <w:jc w:val="left"/>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5700713" cy="1885950"/>
            <wp:effectExtent b="0" l="0" r="0" t="0"/>
            <wp:docPr id="2" name="image6.png"/>
            <a:graphic>
              <a:graphicData uri="http://schemas.openxmlformats.org/drawingml/2006/picture">
                <pic:pic>
                  <pic:nvPicPr>
                    <pic:cNvPr id="0" name="image6.png"/>
                    <pic:cNvPicPr preferRelativeResize="0"/>
                  </pic:nvPicPr>
                  <pic:blipFill>
                    <a:blip r:embed="rId6"/>
                    <a:srcRect b="38677" l="3846" r="0" t="21643"/>
                    <a:stretch>
                      <a:fillRect/>
                    </a:stretch>
                  </pic:blipFill>
                  <pic:spPr>
                    <a:xfrm>
                      <a:off x="0" y="0"/>
                      <a:ext cx="5700713" cy="1885950"/>
                    </a:xfrm>
                    <a:prstGeom prst="rect"/>
                    <a:ln/>
                  </pic:spPr>
                </pic:pic>
              </a:graphicData>
            </a:graphic>
          </wp:inline>
        </w:drawing>
      </w:r>
      <w:r w:rsidDel="00000000" w:rsidR="00000000" w:rsidRPr="00000000">
        <w:rPr>
          <w:rtl w:val="0"/>
        </w:rPr>
      </w:r>
    </w:p>
    <w:p w:rsidR="00000000" w:rsidDel="00000000" w:rsidP="00000000" w:rsidRDefault="00000000" w:rsidRPr="00000000">
      <w:pPr>
        <w:ind w:left="720" w:firstLine="0"/>
        <w:contextualSpacing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pPr>
        <w:ind w:left="720" w:firstLine="0"/>
        <w:contextualSpacing w:val="0"/>
        <w:jc w:val="left"/>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5653088" cy="1905000"/>
            <wp:effectExtent b="0" l="0" r="0" t="0"/>
            <wp:docPr id="3" name="image7.png"/>
            <a:graphic>
              <a:graphicData uri="http://schemas.openxmlformats.org/drawingml/2006/picture">
                <pic:pic>
                  <pic:nvPicPr>
                    <pic:cNvPr id="0" name="image7.png"/>
                    <pic:cNvPicPr preferRelativeResize="0"/>
                  </pic:nvPicPr>
                  <pic:blipFill>
                    <a:blip r:embed="rId7"/>
                    <a:srcRect b="16833" l="4006" r="6891" t="43086"/>
                    <a:stretch>
                      <a:fillRect/>
                    </a:stretch>
                  </pic:blipFill>
                  <pic:spPr>
                    <a:xfrm>
                      <a:off x="0" y="0"/>
                      <a:ext cx="5653088" cy="1905000"/>
                    </a:xfrm>
                    <a:prstGeom prst="rect"/>
                    <a:ln/>
                  </pic:spPr>
                </pic:pic>
              </a:graphicData>
            </a:graphic>
          </wp:inline>
        </w:drawing>
      </w:r>
      <w:r w:rsidDel="00000000" w:rsidR="00000000" w:rsidRPr="00000000">
        <w:rPr>
          <w:rtl w:val="0"/>
        </w:rPr>
      </w:r>
    </w:p>
    <w:p w:rsidR="00000000" w:rsidDel="00000000" w:rsidP="00000000" w:rsidRDefault="00000000" w:rsidRPr="00000000">
      <w:pPr>
        <w:ind w:left="720" w:firstLine="0"/>
        <w:contextualSpacing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pPr>
        <w:ind w:left="720" w:firstLine="0"/>
        <w:contextualSpacing w:val="0"/>
        <w:jc w:val="left"/>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5643563" cy="1933575"/>
            <wp:effectExtent b="0" l="0" r="0" t="0"/>
            <wp:docPr id="4" name="image8.png"/>
            <a:graphic>
              <a:graphicData uri="http://schemas.openxmlformats.org/drawingml/2006/picture">
                <pic:pic>
                  <pic:nvPicPr>
                    <pic:cNvPr id="0" name="image8.png"/>
                    <pic:cNvPicPr preferRelativeResize="0"/>
                  </pic:nvPicPr>
                  <pic:blipFill>
                    <a:blip r:embed="rId8"/>
                    <a:srcRect b="16633" l="4487" r="9134" t="42685"/>
                    <a:stretch>
                      <a:fillRect/>
                    </a:stretch>
                  </pic:blipFill>
                  <pic:spPr>
                    <a:xfrm>
                      <a:off x="0" y="0"/>
                      <a:ext cx="5643563" cy="1933575"/>
                    </a:xfrm>
                    <a:prstGeom prst="rect"/>
                    <a:ln/>
                  </pic:spPr>
                </pic:pic>
              </a:graphicData>
            </a:graphic>
          </wp:inline>
        </w:drawing>
      </w:r>
      <w:r w:rsidDel="00000000" w:rsidR="00000000" w:rsidRPr="00000000">
        <w:rPr>
          <w:rtl w:val="0"/>
        </w:rPr>
      </w:r>
    </w:p>
    <w:p w:rsidR="00000000" w:rsidDel="00000000" w:rsidP="00000000" w:rsidRDefault="00000000" w:rsidRPr="00000000">
      <w:pPr>
        <w:ind w:left="720" w:firstLine="0"/>
        <w:contextualSpacing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pPr>
        <w:ind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fill the time while troubleshooting the CRD, we were given the task to test a different set of scintillating panels.  Our first goal was to see if the cover over the scintillating material remained light tight since they were in storage for many years. The six panels were much larger than the Quarknet panels, and were not attached to any PMT’s yet.  To test the panels, we built a black box from plywood for the panels to rest in.  Before closing the box, we covered the panels in a black fabric.  The PMT’s were placed in a housing and placed onto the optical neck of the scintillating panels.  After setting up the panels to an oscilloscope and a high voltage source we observed detections by seeing a voltage drop and slight “ringing”.  We turned on the lights in order to determine if any ambient light was leaking into the scintillators, but the oscilloscope remained constant.  Once we noticed that we were getting detections, and that the box is light tight, we removed the plywood box, and pulled back the fabric to expose the panels. When we checked the oscilloscope with a black room as well as when the lights in the room were on, we noticed no change in the readings.  Therefore we are confident that the panels are still in good working order.</w:t>
      </w:r>
    </w:p>
    <w:p w:rsidR="00000000" w:rsidDel="00000000" w:rsidP="00000000" w:rsidRDefault="00000000" w:rsidRPr="00000000">
      <w:pPr>
        <w:ind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next steps that should be completed before using these panels include, getting PMT’s that have the proper diameter to match the optical neck of the panels, as well as create a way to keep the PMT attached to the panel while keeping it light tight. Once those two tasks are completed, the panels should be in good working order for whatever measurements would like to be taken.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3.png"/><Relationship Id="rId6"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8.png"/></Relationships>
</file>